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05" w:rsidRDefault="00A82D05">
      <w:pPr>
        <w:jc w:val="center"/>
        <w:rPr>
          <w:rFonts w:ascii="Arial" w:eastAsia="Arial" w:hAnsi="Arial" w:cs="Arial"/>
          <w:b/>
        </w:rPr>
      </w:pPr>
    </w:p>
    <w:p w:rsidR="00A82D05" w:rsidRDefault="00DC713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A82D05" w:rsidRDefault="00A82D05">
      <w:pPr>
        <w:jc w:val="center"/>
        <w:rPr>
          <w:rFonts w:ascii="Arial" w:eastAsia="Arial" w:hAnsi="Arial" w:cs="Arial"/>
          <w:b/>
        </w:rPr>
      </w:pPr>
    </w:p>
    <w:p w:rsidR="00A82D05" w:rsidRDefault="00DC713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ORIENTAÇÕES PARA INSTRUÇÃO DE PROCESSO</w:t>
      </w:r>
    </w:p>
    <w:p w:rsidR="00A82D05" w:rsidRDefault="00A82D05">
      <w:pPr>
        <w:rPr>
          <w:rFonts w:ascii="Arial" w:eastAsia="Arial" w:hAnsi="Arial" w:cs="Arial"/>
        </w:rPr>
      </w:pPr>
    </w:p>
    <w:p w:rsidR="00A82D05" w:rsidRDefault="00DC7131">
      <w:pPr>
        <w:shd w:val="clear" w:color="auto" w:fill="FFFF00"/>
        <w:tabs>
          <w:tab w:val="left" w:pos="27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I</w:t>
      </w:r>
    </w:p>
    <w:p w:rsidR="00A82D05" w:rsidRDefault="00DC7131">
      <w:pPr>
        <w:shd w:val="clear" w:color="auto" w:fill="FFFF00"/>
        <w:tabs>
          <w:tab w:val="left" w:pos="27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Responsável: Solicitante</w:t>
      </w:r>
    </w:p>
    <w:p w:rsidR="00A82D05" w:rsidRDefault="00A82D05">
      <w:pPr>
        <w:jc w:val="both"/>
        <w:rPr>
          <w:rFonts w:ascii="Arial" w:eastAsia="Arial" w:hAnsi="Arial" w:cs="Arial"/>
        </w:rPr>
      </w:pP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– Preencher formulário de Solicitação de Ajuda de Custo (Anexo I)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e formalizar </w:t>
      </w:r>
      <w:proofErr w:type="gramStart"/>
      <w:r>
        <w:rPr>
          <w:rFonts w:ascii="Arial" w:eastAsia="Arial" w:hAnsi="Arial" w:cs="Arial"/>
        </w:rPr>
        <w:t>junto</w:t>
      </w:r>
      <w:proofErr w:type="gramEnd"/>
      <w:r>
        <w:rPr>
          <w:rFonts w:ascii="Arial" w:eastAsia="Arial" w:hAnsi="Arial" w:cs="Arial"/>
        </w:rPr>
        <w:t xml:space="preserve"> à chefia imediata, para que esta o despache</w:t>
      </w:r>
      <w:r>
        <w:rPr>
          <w:rFonts w:ascii="Arial" w:eastAsia="Arial" w:hAnsi="Arial" w:cs="Arial"/>
          <w:color w:val="FF0000"/>
        </w:rPr>
        <w:t>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– Abrir processo no SUAP.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– Justificar pedido caso este seja feito com menos de trinta e cinco dias (conforme prazo estipulado na portaria de ajuda de custo).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– Preencher o formulário de Requisição de Ajuda de Custo (Anexo II).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– Anexar ao processo informações oficiais referentes ao evento: folder, panfleto, cronograma, convite, entre outras.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– Anexar o comprovante de inscrição, a carta de aceite e cópia do trabalho submetido (no caso de ajuda de custo para apresentação de trabalho em eventos científicos).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– Anexar o projeto ou proposta de aula devidamente assinada pelo solicitante e aprovada pelo Departamento de Ensino, contendo, ao menos, descrição do local, data, objetivo e cronograma das atividades (quando se tratar de visita técnica ou aula de campo).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 – Anexar cópia da portaria vigente que trata da ajuda de custo</w:t>
      </w:r>
      <w:r>
        <w:rPr>
          <w:rFonts w:ascii="Arial" w:eastAsia="Arial" w:hAnsi="Arial" w:cs="Arial"/>
          <w:color w:val="FF0000"/>
        </w:rPr>
        <w:t>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 – Documentos do Discente: </w:t>
      </w:r>
    </w:p>
    <w:p w:rsidR="00A82D05" w:rsidRDefault="00DC7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Anexar cópia do CPF, RG, comprovante de matrícula e de residência; ou Ficha de matrícula atualizada (emitida pelo responsável da área acadêmica);</w:t>
      </w:r>
    </w:p>
    <w:p w:rsidR="00A82D05" w:rsidRDefault="00DC7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Preencher e anexar a planilha Dados Pessoais e Acadêmicos (Anexo III). Desconsiderar este item, caso opte por anexar a ficha de matrícula.</w:t>
      </w:r>
    </w:p>
    <w:p w:rsidR="00A82D05" w:rsidRDefault="00DC7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Preencher e anexar a Autorização para Viagem, Hospedagem e Uso de Imagem, devidamente assinada pelos pais ou responsável legal do discente, quando menor de idade </w:t>
      </w:r>
      <w:r>
        <w:rPr>
          <w:rFonts w:ascii="Arial" w:eastAsia="Arial" w:hAnsi="Arial" w:cs="Arial"/>
        </w:rPr>
        <w:t>(Anexo VII).</w:t>
      </w:r>
    </w:p>
    <w:p w:rsidR="00A82D05" w:rsidRDefault="00DC7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Preencher e anexar a Autorização de Uso da Imagem no caso de discente maior de 18 anos (Anexo XIV).</w:t>
      </w:r>
    </w:p>
    <w:p w:rsidR="00A82D05" w:rsidRDefault="00DC7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contextualSpacing/>
        <w:jc w:val="both"/>
      </w:pPr>
      <w:r>
        <w:rPr>
          <w:rFonts w:ascii="Arial" w:eastAsia="Arial" w:hAnsi="Arial" w:cs="Arial"/>
          <w:color w:val="000000"/>
        </w:rPr>
        <w:lastRenderedPageBreak/>
        <w:t xml:space="preserve">Anexar o comprovante de inscrição no evento, quando solicitado recurso para a modalidade de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juda de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usto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 xml:space="preserve">axa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e Inscrição</w:t>
      </w:r>
      <w:r>
        <w:rPr>
          <w:color w:val="000000"/>
        </w:rPr>
        <w:t>.</w:t>
      </w:r>
    </w:p>
    <w:p w:rsidR="00A82D05" w:rsidRDefault="00DC7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rovidenciar 03 (três) orçamentos e preencher o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apa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omparativo </w:t>
      </w:r>
      <w:r>
        <w:rPr>
          <w:rFonts w:ascii="Arial" w:eastAsia="Arial" w:hAnsi="Arial" w:cs="Arial"/>
        </w:rPr>
        <w:t>(Anexo VIII) quando solicitada ajuda de custo para Passagem.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– Preencher e anexar a planilha Dados para Empenho (Anexo IV).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 – Instruir o processo e protocolá-lo no Departamento de Ensino (DE) com no mínimo 35 (trinta e cinco) dias de antecedência da data de início do evento.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 – Paginar e rubricar e carimbar EM BRANCO todas as folhas desta etapa anexadas ao processo.</w:t>
      </w:r>
    </w:p>
    <w:p w:rsidR="00A82D05" w:rsidRDefault="004159B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Observação: todos os documentos que necessitarem de assinatura e carimbo só serão aceitos pelo DE e DAP se corretamente instruídos</w:t>
      </w:r>
      <w:bookmarkStart w:id="0" w:name="_GoBack"/>
      <w:bookmarkEnd w:id="0"/>
      <w:r w:rsidR="00DC7131">
        <w:rPr>
          <w:rFonts w:ascii="Arial" w:eastAsia="Arial" w:hAnsi="Arial" w:cs="Arial"/>
          <w:b/>
        </w:rPr>
        <w:t>.</w:t>
      </w:r>
    </w:p>
    <w:p w:rsidR="00A82D05" w:rsidRDefault="00DC7131">
      <w:pPr>
        <w:shd w:val="clear" w:color="auto" w:fill="FFFF00"/>
        <w:tabs>
          <w:tab w:val="left" w:pos="27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II</w:t>
      </w:r>
    </w:p>
    <w:p w:rsidR="00A82D05" w:rsidRDefault="00DC7131">
      <w:pPr>
        <w:shd w:val="clear" w:color="auto" w:fill="FFFF00"/>
        <w:tabs>
          <w:tab w:val="left" w:pos="27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Responsável: Departamento de Ensino</w:t>
      </w:r>
    </w:p>
    <w:p w:rsidR="00A82D05" w:rsidRDefault="00A82D05">
      <w:pPr>
        <w:rPr>
          <w:rFonts w:ascii="Arial" w:eastAsia="Arial" w:hAnsi="Arial" w:cs="Arial"/>
        </w:rPr>
      </w:pP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 – Conferir a relação de discentes para verificar a situação acadêmica deles (conforme previsto no Art. 7º da portaria). Em memorando, o chefe do DE deverá emitir um parecer no qual conste se há ou não restrições aos alunos relacionados. 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– Encaminhar o processo juntamente com o memorando ao Departamento de Administração e Planejamento (DAP), solicitando empenho e pagamento (o processo deverá ser protocolado no DAP com antecedência de 30 (trinta) dias da data de início do evento).</w:t>
      </w:r>
    </w:p>
    <w:p w:rsidR="00A82D05" w:rsidRDefault="00DC71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Antes de encaminhar ao DAP, verificar todos os documentos que compõem o processo;</w:t>
      </w:r>
    </w:p>
    <w:p w:rsidR="00A82D05" w:rsidRDefault="00DC71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Paginar e rubricar e carimbar E</w:t>
      </w:r>
      <w:r>
        <w:rPr>
          <w:rFonts w:ascii="Arial" w:eastAsia="Arial" w:hAnsi="Arial" w:cs="Arial"/>
        </w:rPr>
        <w:t>M BRANCO</w:t>
      </w:r>
      <w:r>
        <w:rPr>
          <w:rFonts w:ascii="Arial" w:eastAsia="Arial" w:hAnsi="Arial" w:cs="Arial"/>
          <w:color w:val="000000"/>
        </w:rPr>
        <w:t xml:space="preserve"> todas as folhas desta etapa anexadas ao processo.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Observação: todos os documentos que necessitarem de assinatura e carimbo </w:t>
      </w:r>
      <w:r w:rsidR="004159B6">
        <w:rPr>
          <w:rFonts w:ascii="Arial" w:eastAsia="Arial" w:hAnsi="Arial" w:cs="Arial"/>
          <w:b/>
        </w:rPr>
        <w:t>só serão aceitos pelo DE e DAP se corretamente instruídos</w:t>
      </w:r>
      <w:r>
        <w:rPr>
          <w:rFonts w:ascii="Arial" w:eastAsia="Arial" w:hAnsi="Arial" w:cs="Arial"/>
          <w:b/>
        </w:rPr>
        <w:t>.</w:t>
      </w:r>
    </w:p>
    <w:p w:rsidR="00A82D05" w:rsidRDefault="00A82D05">
      <w:pPr>
        <w:rPr>
          <w:rFonts w:ascii="Arial" w:eastAsia="Arial" w:hAnsi="Arial" w:cs="Arial"/>
        </w:rPr>
      </w:pPr>
    </w:p>
    <w:p w:rsidR="00A82D05" w:rsidRDefault="00DC7131">
      <w:pPr>
        <w:shd w:val="clear" w:color="auto" w:fill="FFFF00"/>
        <w:tabs>
          <w:tab w:val="left" w:pos="27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III</w:t>
      </w:r>
    </w:p>
    <w:p w:rsidR="00A82D05" w:rsidRDefault="00DC7131">
      <w:pPr>
        <w:shd w:val="clear" w:color="auto" w:fill="FFFF00"/>
        <w:tabs>
          <w:tab w:val="left" w:pos="27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Responsável: Departamento de Administração e Planejamento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 – Conferir o processo e emitir despacho para empenho.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 – Emitir empenho.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 – Emitir despacho para liquidação e pagamento.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19 – Emissão</w:t>
      </w:r>
      <w:proofErr w:type="gramEnd"/>
      <w:r>
        <w:rPr>
          <w:rFonts w:ascii="Arial" w:eastAsia="Arial" w:hAnsi="Arial" w:cs="Arial"/>
        </w:rPr>
        <w:t xml:space="preserve"> de Ordens Bancárias de Pagamento (OBP), caso não possua conta </w:t>
      </w:r>
      <w:r>
        <w:rPr>
          <w:rFonts w:ascii="Arial" w:eastAsia="Arial" w:hAnsi="Arial" w:cs="Arial"/>
        </w:rPr>
        <w:lastRenderedPageBreak/>
        <w:t xml:space="preserve">(entregar ao solicitante as </w:t>
      </w:r>
      <w:proofErr w:type="spellStart"/>
      <w:r>
        <w:rPr>
          <w:rFonts w:ascii="Arial" w:eastAsia="Arial" w:hAnsi="Arial" w:cs="Arial"/>
        </w:rPr>
        <w:t>OBPs</w:t>
      </w:r>
      <w:proofErr w:type="spellEnd"/>
      <w:r>
        <w:rPr>
          <w:rFonts w:ascii="Arial" w:eastAsia="Arial" w:hAnsi="Arial" w:cs="Arial"/>
        </w:rPr>
        <w:t>, para ser entregue aos discentes).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– Paginar e rubricar e carimbar EM BRANCO todas as folhas desta etapa anexadas ao processo.</w:t>
      </w:r>
    </w:p>
    <w:p w:rsidR="004159B6" w:rsidRDefault="004159B6" w:rsidP="004159B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Observação: todos os documentos que necessitarem de assinatura e carimbo só serão aceitos pelo DE e DAP se corretamente instruídos.</w:t>
      </w:r>
    </w:p>
    <w:p w:rsidR="00A82D05" w:rsidRDefault="00A82D05">
      <w:pPr>
        <w:rPr>
          <w:rFonts w:ascii="Arial" w:eastAsia="Arial" w:hAnsi="Arial" w:cs="Arial"/>
        </w:rPr>
      </w:pPr>
    </w:p>
    <w:p w:rsidR="00A82D05" w:rsidRDefault="00DC7131">
      <w:pPr>
        <w:shd w:val="clear" w:color="auto" w:fill="FFFF00"/>
        <w:tabs>
          <w:tab w:val="left" w:pos="27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IV</w:t>
      </w:r>
    </w:p>
    <w:p w:rsidR="00A82D05" w:rsidRDefault="00DC7131">
      <w:pPr>
        <w:shd w:val="clear" w:color="auto" w:fill="FFFF00"/>
        <w:tabs>
          <w:tab w:val="left" w:pos="27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Responsável: Solicitante</w:t>
      </w:r>
    </w:p>
    <w:p w:rsidR="00A82D05" w:rsidRDefault="00A82D05">
      <w:pPr>
        <w:rPr>
          <w:rFonts w:ascii="Arial" w:eastAsia="Arial" w:hAnsi="Arial" w:cs="Arial"/>
        </w:rPr>
      </w:pP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 – Anexar todas as autorizações referentes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viagem dos discentes, conforme anexos da portaria.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 – Entregar as </w:t>
      </w:r>
      <w:proofErr w:type="spellStart"/>
      <w:r>
        <w:rPr>
          <w:rFonts w:ascii="Arial" w:eastAsia="Arial" w:hAnsi="Arial" w:cs="Arial"/>
        </w:rPr>
        <w:t>OBPs</w:t>
      </w:r>
      <w:proofErr w:type="spellEnd"/>
      <w:r>
        <w:rPr>
          <w:rFonts w:ascii="Arial" w:eastAsia="Arial" w:hAnsi="Arial" w:cs="Arial"/>
        </w:rPr>
        <w:t xml:space="preserve"> aos alunos (orientar o aluno a sacar o valor no Banco do Brasil).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 – Fazer a prestação de contas dos alunos no retorno da viagem (conforme portaria e seus anexos).</w:t>
      </w:r>
    </w:p>
    <w:p w:rsidR="00A82D05" w:rsidRDefault="00DC71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 – Paginar e rubricar e carimbar EM BRANCO todas as folhas desta etapa anexadas ao processo.</w:t>
      </w:r>
    </w:p>
    <w:p w:rsidR="004159B6" w:rsidRDefault="004159B6" w:rsidP="004159B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Observação: todos os documentos que necessitarem de assinatura e carimbo só serão aceitos pelo DE e DAP se corretamente instruídos.</w:t>
      </w:r>
    </w:p>
    <w:p w:rsidR="00A82D05" w:rsidRDefault="00A82D05" w:rsidP="004159B6">
      <w:pPr>
        <w:jc w:val="both"/>
        <w:rPr>
          <w:rFonts w:ascii="Arial" w:eastAsia="Arial" w:hAnsi="Arial" w:cs="Arial"/>
        </w:rPr>
      </w:pPr>
    </w:p>
    <w:sectPr w:rsidR="00A82D05" w:rsidSect="00E70117">
      <w:headerReference w:type="default" r:id="rId8"/>
      <w:footerReference w:type="default" r:id="rId9"/>
      <w:pgSz w:w="11906" w:h="16838"/>
      <w:pgMar w:top="1701" w:right="1134" w:bottom="1134" w:left="1701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4C" w:rsidRDefault="0002114C">
      <w:r>
        <w:separator/>
      </w:r>
    </w:p>
  </w:endnote>
  <w:endnote w:type="continuationSeparator" w:id="0">
    <w:p w:rsidR="0002114C" w:rsidRDefault="0002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5" w:rsidRDefault="00DC713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Rua Ananias Martins de Souza, nº.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861, Vila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Mineira –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Cep</w:t>
    </w:r>
    <w:proofErr w:type="spellEnd"/>
    <w:r>
      <w:rPr>
        <w:rFonts w:ascii="Arial" w:eastAsia="Arial" w:hAnsi="Arial" w:cs="Arial"/>
        <w:color w:val="000000"/>
        <w:sz w:val="18"/>
        <w:szCs w:val="18"/>
      </w:rPr>
      <w:t>: 78.721-520. Rondonópolis-MT.</w:t>
    </w:r>
  </w:p>
  <w:p w:rsidR="00A82D05" w:rsidRDefault="00DC71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Telefone: (66) 3427-2300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4C" w:rsidRDefault="0002114C">
      <w:r>
        <w:separator/>
      </w:r>
    </w:p>
  </w:footnote>
  <w:footnote w:type="continuationSeparator" w:id="0">
    <w:p w:rsidR="0002114C" w:rsidRDefault="0002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5" w:rsidRDefault="00DC7131">
    <w:pPr>
      <w:pBdr>
        <w:top w:val="nil"/>
        <w:left w:val="nil"/>
        <w:bottom w:val="nil"/>
        <w:right w:val="nil"/>
        <w:between w:val="nil"/>
      </w:pBdr>
      <w:spacing w:before="709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668655" cy="61531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2D05" w:rsidRDefault="00DC71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8"/>
        <w:szCs w:val="18"/>
      </w:rPr>
      <w:t>SERVIÇO PÚBLICO FEDERAL</w:t>
    </w:r>
  </w:p>
  <w:p w:rsidR="00A82D05" w:rsidRDefault="00DC71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8"/>
        <w:szCs w:val="18"/>
      </w:rPr>
      <w:t>MINISTÉRIO DA EDUCAÇÃO</w:t>
    </w:r>
  </w:p>
  <w:p w:rsidR="00A82D05" w:rsidRDefault="00DC71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eastAsia="Arial" w:hAnsi="Arial" w:cs="Arial"/>
        <w:b/>
        <w:color w:val="000000"/>
        <w:sz w:val="18"/>
        <w:szCs w:val="18"/>
      </w:rPr>
      <w:t>GROSSO</w:t>
    </w:r>
    <w:proofErr w:type="gramEnd"/>
  </w:p>
  <w:p w:rsidR="00A82D05" w:rsidRDefault="00DC71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CAMPUS</w:t>
    </w:r>
    <w:r>
      <w:rPr>
        <w:rFonts w:ascii="Arial" w:eastAsia="Arial" w:hAnsi="Arial" w:cs="Arial"/>
        <w:b/>
        <w:color w:val="000000"/>
        <w:sz w:val="18"/>
        <w:szCs w:val="18"/>
      </w:rPr>
      <w:t xml:space="preserve"> RONDONÓPOLIS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E0A"/>
    <w:multiLevelType w:val="multilevel"/>
    <w:tmpl w:val="696258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F4B"/>
    <w:multiLevelType w:val="multilevel"/>
    <w:tmpl w:val="E1725A7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05"/>
    <w:rsid w:val="0002114C"/>
    <w:rsid w:val="004159B6"/>
    <w:rsid w:val="0053054B"/>
    <w:rsid w:val="009069CE"/>
    <w:rsid w:val="00A82D05"/>
    <w:rsid w:val="00AF34C5"/>
    <w:rsid w:val="00C81489"/>
    <w:rsid w:val="00DC7131"/>
    <w:rsid w:val="00E52229"/>
    <w:rsid w:val="00E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117"/>
  </w:style>
  <w:style w:type="paragraph" w:styleId="Ttulo1">
    <w:name w:val="heading 1"/>
    <w:basedOn w:val="Normal"/>
    <w:next w:val="Normal"/>
    <w:rsid w:val="00E70117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70117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70117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70117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70117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70117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701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70117"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70117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54B"/>
    <w:rPr>
      <w:rFonts w:ascii="Tahoma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117"/>
  </w:style>
  <w:style w:type="paragraph" w:styleId="Ttulo1">
    <w:name w:val="heading 1"/>
    <w:basedOn w:val="Normal"/>
    <w:next w:val="Normal"/>
    <w:rsid w:val="00E70117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70117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70117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70117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70117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70117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701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70117"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70117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54B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3</cp:revision>
  <dcterms:created xsi:type="dcterms:W3CDTF">2019-02-13T13:23:00Z</dcterms:created>
  <dcterms:modified xsi:type="dcterms:W3CDTF">2019-02-13T20:22:00Z</dcterms:modified>
</cp:coreProperties>
</file>